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CA78CF" w14:textId="77777777" w:rsidR="001F1A9E" w:rsidRDefault="001F1A9E" w:rsidP="00215260">
      <w:pPr>
        <w:rPr>
          <w:b/>
        </w:rPr>
      </w:pPr>
    </w:p>
    <w:p w14:paraId="14D7FF76" w14:textId="4501DEBB" w:rsidR="00215260" w:rsidRPr="003C12ED" w:rsidRDefault="00215260" w:rsidP="00215260">
      <w:pPr>
        <w:rPr>
          <w:b/>
        </w:rPr>
      </w:pPr>
      <w:r w:rsidRPr="003C12ED">
        <w:rPr>
          <w:b/>
        </w:rPr>
        <w:t>Notes to the Required Supplementary Information- Part II</w:t>
      </w:r>
    </w:p>
    <w:p w14:paraId="3D700ABD" w14:textId="77777777" w:rsidR="00215260" w:rsidRPr="003C12ED" w:rsidRDefault="00215260" w:rsidP="00215260">
      <w:pPr>
        <w:shd w:val="clear" w:color="auto" w:fill="FFFFFF"/>
        <w:spacing w:before="100" w:beforeAutospacing="1" w:afterAutospacing="1"/>
      </w:pPr>
      <w:r w:rsidRPr="003C12ED">
        <w:rPr>
          <w:b/>
        </w:rPr>
        <w:tab/>
      </w:r>
      <w:r w:rsidRPr="003C12ED">
        <w:t>C-3</w:t>
      </w:r>
      <w:r w:rsidRPr="003C12ED">
        <w:tab/>
        <w:t>Budget-to-GAAP Reconciliation</w:t>
      </w:r>
      <w:r w:rsidRPr="003C12ED">
        <w:tab/>
      </w:r>
    </w:p>
    <w:p w14:paraId="0E58C955" w14:textId="77777777" w:rsidR="00215260" w:rsidRPr="003C12ED" w:rsidRDefault="00215260" w:rsidP="00215260">
      <w:pPr>
        <w:shd w:val="clear" w:color="auto" w:fill="FFFFFF"/>
        <w:spacing w:before="100" w:beforeAutospacing="1" w:afterAutospacing="1"/>
        <w:rPr>
          <w:b/>
          <w:bCs/>
          <w:color w:val="000000"/>
          <w:szCs w:val="22"/>
        </w:rPr>
      </w:pPr>
      <w:r w:rsidRPr="003C12ED">
        <w:rPr>
          <w:b/>
          <w:bCs/>
          <w:color w:val="000000"/>
          <w:szCs w:val="22"/>
        </w:rPr>
        <w:t>Required Supplementary Information – Part III</w:t>
      </w:r>
    </w:p>
    <w:p w14:paraId="7F307F17" w14:textId="77777777" w:rsidR="00215260" w:rsidRPr="003C12ED" w:rsidRDefault="00215260" w:rsidP="00215260">
      <w:pPr>
        <w:shd w:val="clear" w:color="auto" w:fill="FFFFFF"/>
        <w:spacing w:before="100" w:beforeAutospacing="1" w:afterAutospacing="1"/>
        <w:rPr>
          <w:color w:val="000000"/>
          <w:szCs w:val="22"/>
        </w:rPr>
      </w:pPr>
      <w:r w:rsidRPr="003C12ED">
        <w:rPr>
          <w:color w:val="000000"/>
          <w:szCs w:val="22"/>
        </w:rPr>
        <w:t>L.  Schedules Related to Accounting and Reporting for Pensions (GASB 68)</w:t>
      </w:r>
    </w:p>
    <w:p w14:paraId="0288A4EC" w14:textId="77777777" w:rsidR="00215260" w:rsidRPr="003C12ED" w:rsidRDefault="00215260" w:rsidP="00215260">
      <w:pPr>
        <w:ind w:left="540"/>
        <w:rPr>
          <w:color w:val="000000"/>
          <w:szCs w:val="22"/>
        </w:rPr>
      </w:pPr>
      <w:r w:rsidRPr="003C12ED">
        <w:rPr>
          <w:color w:val="000000"/>
          <w:szCs w:val="22"/>
        </w:rPr>
        <w:t>L-1</w:t>
      </w:r>
      <w:r w:rsidRPr="003C12ED">
        <w:rPr>
          <w:color w:val="000000"/>
          <w:szCs w:val="22"/>
        </w:rPr>
        <w:tab/>
        <w:t>Schedule of the Distr</w:t>
      </w:r>
      <w:bookmarkStart w:id="0" w:name="_GoBack"/>
      <w:bookmarkEnd w:id="0"/>
      <w:r w:rsidRPr="003C12ED">
        <w:rPr>
          <w:color w:val="000000"/>
          <w:szCs w:val="22"/>
        </w:rPr>
        <w:t xml:space="preserve">ict’s Proportionate Share of the Net Pension </w:t>
      </w:r>
    </w:p>
    <w:p w14:paraId="4F2BA61C" w14:textId="77777777" w:rsidR="00215260" w:rsidRPr="003C12ED" w:rsidRDefault="00215260" w:rsidP="00215260">
      <w:pPr>
        <w:ind w:left="990" w:firstLine="450"/>
        <w:rPr>
          <w:color w:val="000000"/>
          <w:szCs w:val="22"/>
        </w:rPr>
      </w:pPr>
      <w:r w:rsidRPr="003C12ED">
        <w:rPr>
          <w:color w:val="000000"/>
          <w:szCs w:val="22"/>
        </w:rPr>
        <w:t>Liability –PERS</w:t>
      </w:r>
    </w:p>
    <w:p w14:paraId="589058BD" w14:textId="77777777" w:rsidR="00215260" w:rsidRPr="003C12ED" w:rsidRDefault="00215260" w:rsidP="00215260">
      <w:pPr>
        <w:rPr>
          <w:color w:val="000000"/>
          <w:szCs w:val="22"/>
        </w:rPr>
      </w:pPr>
    </w:p>
    <w:p w14:paraId="34A92FF7" w14:textId="77777777" w:rsidR="00215260" w:rsidRPr="003C12ED" w:rsidRDefault="00215260" w:rsidP="00215260">
      <w:pPr>
        <w:ind w:left="540"/>
        <w:rPr>
          <w:color w:val="000000"/>
          <w:szCs w:val="22"/>
        </w:rPr>
      </w:pPr>
      <w:r w:rsidRPr="003C12ED">
        <w:rPr>
          <w:color w:val="000000"/>
          <w:szCs w:val="22"/>
        </w:rPr>
        <w:t>L-2</w:t>
      </w:r>
      <w:r w:rsidRPr="003C12ED">
        <w:rPr>
          <w:color w:val="000000"/>
          <w:szCs w:val="22"/>
        </w:rPr>
        <w:tab/>
        <w:t>Schedule of District Contributions – PERS</w:t>
      </w:r>
    </w:p>
    <w:p w14:paraId="59A1E062" w14:textId="77777777" w:rsidR="00215260" w:rsidRPr="003C12ED" w:rsidRDefault="00215260" w:rsidP="00215260">
      <w:pPr>
        <w:ind w:left="540"/>
        <w:rPr>
          <w:color w:val="000000"/>
          <w:szCs w:val="22"/>
        </w:rPr>
      </w:pPr>
    </w:p>
    <w:p w14:paraId="3229FEA5" w14:textId="77777777" w:rsidR="00215260" w:rsidRPr="003C12ED" w:rsidRDefault="00215260" w:rsidP="00215260">
      <w:pPr>
        <w:ind w:left="540"/>
        <w:rPr>
          <w:color w:val="000000"/>
          <w:szCs w:val="22"/>
        </w:rPr>
      </w:pPr>
      <w:r w:rsidRPr="003C12ED">
        <w:rPr>
          <w:color w:val="000000"/>
          <w:szCs w:val="22"/>
        </w:rPr>
        <w:t>L-3</w:t>
      </w:r>
      <w:r w:rsidRPr="003C12ED">
        <w:rPr>
          <w:color w:val="000000"/>
          <w:szCs w:val="22"/>
        </w:rPr>
        <w:tab/>
        <w:t xml:space="preserve">Schedule of the District’s Proportionate Share of the Net Pension </w:t>
      </w:r>
    </w:p>
    <w:p w14:paraId="101AE120" w14:textId="77777777" w:rsidR="00215260" w:rsidRDefault="00215260" w:rsidP="00215260">
      <w:pPr>
        <w:ind w:left="990" w:firstLine="450"/>
        <w:rPr>
          <w:color w:val="000000"/>
          <w:szCs w:val="22"/>
        </w:rPr>
      </w:pPr>
      <w:r w:rsidRPr="003C12ED">
        <w:rPr>
          <w:color w:val="000000"/>
          <w:szCs w:val="22"/>
        </w:rPr>
        <w:t>Liability – TPAF</w:t>
      </w:r>
    </w:p>
    <w:p w14:paraId="723B52A7" w14:textId="77777777" w:rsidR="00215260" w:rsidRDefault="00215260" w:rsidP="00215260">
      <w:pPr>
        <w:ind w:left="990" w:firstLine="450"/>
        <w:rPr>
          <w:color w:val="000000"/>
          <w:szCs w:val="22"/>
        </w:rPr>
      </w:pPr>
    </w:p>
    <w:p w14:paraId="68DEBC30" w14:textId="77777777" w:rsidR="00215260" w:rsidRDefault="00215260" w:rsidP="00215260">
      <w:pPr>
        <w:ind w:left="360" w:hanging="360"/>
        <w:rPr>
          <w:color w:val="000000"/>
          <w:szCs w:val="22"/>
        </w:rPr>
      </w:pPr>
      <w:r>
        <w:rPr>
          <w:color w:val="000000"/>
          <w:szCs w:val="22"/>
        </w:rPr>
        <w:t>M. Schedules Related to Accounting and Reporting for Postemployment Benefits Other Than Pensions</w:t>
      </w:r>
    </w:p>
    <w:p w14:paraId="43E67074" w14:textId="77777777" w:rsidR="00215260" w:rsidRDefault="00215260" w:rsidP="00215260">
      <w:pPr>
        <w:ind w:left="360" w:hanging="360"/>
        <w:rPr>
          <w:color w:val="000000"/>
          <w:szCs w:val="22"/>
        </w:rPr>
      </w:pPr>
    </w:p>
    <w:p w14:paraId="7A74E502" w14:textId="1E13996C" w:rsidR="00215260" w:rsidRPr="003C12ED" w:rsidRDefault="00215260" w:rsidP="00215260">
      <w:pPr>
        <w:ind w:left="540" w:hanging="540"/>
        <w:rPr>
          <w:color w:val="000000"/>
          <w:szCs w:val="22"/>
        </w:rPr>
      </w:pPr>
      <w:r>
        <w:rPr>
          <w:color w:val="000000"/>
          <w:szCs w:val="22"/>
        </w:rPr>
        <w:tab/>
      </w:r>
      <w:r w:rsidRPr="00215260">
        <w:rPr>
          <w:color w:val="000000"/>
          <w:szCs w:val="22"/>
          <w:highlight w:val="lightGray"/>
        </w:rPr>
        <w:t>M-1</w:t>
      </w:r>
      <w:r w:rsidRPr="00215260">
        <w:rPr>
          <w:color w:val="000000"/>
          <w:szCs w:val="22"/>
          <w:highlight w:val="lightGray"/>
        </w:rPr>
        <w:tab/>
        <w:t xml:space="preserve">Schedule of Changes in the </w:t>
      </w:r>
      <w:r w:rsidRPr="00215260">
        <w:rPr>
          <w:color w:val="000000"/>
          <w:szCs w:val="22"/>
          <w:highlight w:val="lightGray"/>
        </w:rPr>
        <w:t xml:space="preserve">Total </w:t>
      </w:r>
      <w:r w:rsidRPr="00215260">
        <w:rPr>
          <w:color w:val="000000"/>
          <w:szCs w:val="22"/>
          <w:highlight w:val="lightGray"/>
        </w:rPr>
        <w:t>OPEB Liability and Related Ratios</w:t>
      </w:r>
      <w:r>
        <w:rPr>
          <w:color w:val="000000"/>
          <w:szCs w:val="22"/>
        </w:rPr>
        <w:t xml:space="preserve"> </w:t>
      </w:r>
    </w:p>
    <w:p w14:paraId="718279E1" w14:textId="77777777" w:rsidR="00215260" w:rsidRPr="003C12ED" w:rsidRDefault="00215260" w:rsidP="00215260">
      <w:pPr>
        <w:ind w:left="990"/>
        <w:rPr>
          <w:color w:val="000000"/>
          <w:szCs w:val="22"/>
        </w:rPr>
      </w:pPr>
    </w:p>
    <w:p w14:paraId="358AAC31" w14:textId="77777777" w:rsidR="00215260" w:rsidRPr="003C12ED" w:rsidRDefault="00215260" w:rsidP="00215260">
      <w:r w:rsidRPr="003C12ED">
        <w:tab/>
      </w:r>
      <w:r w:rsidRPr="003C12ED">
        <w:rPr>
          <w:b/>
        </w:rPr>
        <w:t>Other Supplementary Information</w:t>
      </w:r>
    </w:p>
    <w:p w14:paraId="23FCAC98" w14:textId="77777777" w:rsidR="00215260" w:rsidRPr="003C12ED" w:rsidRDefault="00215260" w:rsidP="00215260"/>
    <w:p w14:paraId="2F760010" w14:textId="77777777" w:rsidR="00215260" w:rsidRPr="003C12ED" w:rsidRDefault="00215260" w:rsidP="00215260">
      <w:r w:rsidRPr="003C12ED">
        <w:t>D.</w:t>
      </w:r>
      <w:r w:rsidRPr="003C12ED">
        <w:tab/>
        <w:t>School Based Budget Schedules (</w:t>
      </w:r>
      <w:r w:rsidRPr="00913E4D">
        <w:rPr>
          <w:rStyle w:val="Strong"/>
          <w:b w:val="0"/>
        </w:rPr>
        <w:t>if applicable</w:t>
      </w:r>
      <w:r w:rsidRPr="003C12ED">
        <w:t>):</w:t>
      </w:r>
    </w:p>
    <w:p w14:paraId="5CED2C2B" w14:textId="77777777" w:rsidR="00215260" w:rsidRPr="003C12ED" w:rsidRDefault="00215260" w:rsidP="00215260">
      <w:r w:rsidRPr="003C12ED">
        <w:tab/>
      </w:r>
    </w:p>
    <w:p w14:paraId="11C45CF8" w14:textId="77777777" w:rsidR="00215260" w:rsidRPr="003C12ED" w:rsidRDefault="00215260" w:rsidP="00215260">
      <w:r w:rsidRPr="003C12ED">
        <w:tab/>
        <w:t>D-1</w:t>
      </w:r>
      <w:r w:rsidRPr="003C12ED">
        <w:tab/>
        <w:t>Combining Balance Sheet</w:t>
      </w:r>
    </w:p>
    <w:p w14:paraId="352F466C" w14:textId="77777777" w:rsidR="00215260" w:rsidRPr="003C12ED" w:rsidRDefault="00215260" w:rsidP="00215260">
      <w:pPr>
        <w:tabs>
          <w:tab w:val="left" w:pos="1440"/>
        </w:tabs>
        <w:ind w:left="1440" w:hanging="720"/>
        <w:rPr>
          <w:b/>
          <w:szCs w:val="22"/>
          <w:highlight w:val="yellow"/>
        </w:rPr>
      </w:pPr>
      <w:r w:rsidRPr="003C12ED">
        <w:t>D-2</w:t>
      </w:r>
      <w:r w:rsidRPr="003C12ED">
        <w:tab/>
        <w:t xml:space="preserve">Blended Resource Fund – Schedule of Expenditures Allocated by Resource </w:t>
      </w:r>
    </w:p>
    <w:p w14:paraId="71AD7D24" w14:textId="77777777" w:rsidR="00215260" w:rsidRPr="003C12ED" w:rsidRDefault="00215260" w:rsidP="00215260">
      <w:pPr>
        <w:tabs>
          <w:tab w:val="left" w:pos="1440"/>
          <w:tab w:val="left" w:pos="1800"/>
        </w:tabs>
        <w:rPr>
          <w:szCs w:val="22"/>
        </w:rPr>
      </w:pPr>
      <w:r w:rsidRPr="003C12ED">
        <w:rPr>
          <w:b/>
          <w:szCs w:val="22"/>
        </w:rPr>
        <w:tab/>
      </w:r>
      <w:r w:rsidRPr="003C12ED">
        <w:rPr>
          <w:b/>
          <w:szCs w:val="22"/>
        </w:rPr>
        <w:tab/>
      </w:r>
      <w:r w:rsidRPr="003C12ED">
        <w:rPr>
          <w:szCs w:val="22"/>
        </w:rPr>
        <w:t>Type – Actual</w:t>
      </w:r>
    </w:p>
    <w:p w14:paraId="27A6BB1A" w14:textId="77777777" w:rsidR="00215260" w:rsidRPr="003C12ED" w:rsidRDefault="00215260" w:rsidP="00215260">
      <w:pPr>
        <w:tabs>
          <w:tab w:val="left" w:pos="1440"/>
        </w:tabs>
        <w:ind w:left="720"/>
        <w:rPr>
          <w:szCs w:val="22"/>
        </w:rPr>
      </w:pPr>
      <w:r w:rsidRPr="003C12ED">
        <w:rPr>
          <w:szCs w:val="22"/>
        </w:rPr>
        <w:t>D-3</w:t>
      </w:r>
      <w:r w:rsidRPr="003C12ED">
        <w:rPr>
          <w:szCs w:val="22"/>
        </w:rPr>
        <w:tab/>
        <w:t>Blended Resource Fund – Schedule of Blended Expenditures – Budget and</w:t>
      </w:r>
    </w:p>
    <w:p w14:paraId="42649303" w14:textId="77777777" w:rsidR="00215260" w:rsidRPr="003C12ED" w:rsidRDefault="00215260" w:rsidP="00215260">
      <w:pPr>
        <w:tabs>
          <w:tab w:val="left" w:pos="1440"/>
          <w:tab w:val="left" w:pos="1800"/>
        </w:tabs>
        <w:ind w:left="720"/>
        <w:rPr>
          <w:szCs w:val="22"/>
        </w:rPr>
      </w:pPr>
      <w:r w:rsidRPr="003C12ED">
        <w:rPr>
          <w:szCs w:val="22"/>
        </w:rPr>
        <w:tab/>
      </w:r>
      <w:r w:rsidRPr="003C12ED">
        <w:rPr>
          <w:szCs w:val="22"/>
        </w:rPr>
        <w:tab/>
        <w:t>Actual</w:t>
      </w:r>
    </w:p>
    <w:p w14:paraId="2768A745" w14:textId="77777777" w:rsidR="00215260" w:rsidRPr="003C12ED" w:rsidRDefault="00215260" w:rsidP="00215260">
      <w:pPr>
        <w:tabs>
          <w:tab w:val="left" w:pos="1440"/>
          <w:tab w:val="left" w:pos="1800"/>
        </w:tabs>
        <w:rPr>
          <w:szCs w:val="22"/>
        </w:rPr>
      </w:pPr>
    </w:p>
    <w:p w14:paraId="74E5B8FC" w14:textId="77777777" w:rsidR="00215260" w:rsidRPr="003C12ED" w:rsidRDefault="00215260" w:rsidP="00215260">
      <w:pPr>
        <w:tabs>
          <w:tab w:val="left" w:pos="720"/>
          <w:tab w:val="left" w:pos="1440"/>
          <w:tab w:val="left" w:pos="1800"/>
        </w:tabs>
        <w:rPr>
          <w:szCs w:val="22"/>
        </w:rPr>
      </w:pPr>
      <w:r w:rsidRPr="003C12ED">
        <w:rPr>
          <w:szCs w:val="22"/>
        </w:rPr>
        <w:t>E.</w:t>
      </w:r>
      <w:r w:rsidRPr="003C12ED">
        <w:rPr>
          <w:szCs w:val="22"/>
        </w:rPr>
        <w:tab/>
        <w:t>Special Revenue Fund:</w:t>
      </w:r>
    </w:p>
    <w:p w14:paraId="2BF6A138" w14:textId="77777777" w:rsidR="00215260" w:rsidRPr="003C12ED" w:rsidRDefault="00215260" w:rsidP="00215260">
      <w:pPr>
        <w:tabs>
          <w:tab w:val="left" w:pos="720"/>
          <w:tab w:val="left" w:pos="1440"/>
          <w:tab w:val="left" w:pos="1800"/>
        </w:tabs>
        <w:rPr>
          <w:szCs w:val="22"/>
        </w:rPr>
      </w:pPr>
      <w:r w:rsidRPr="003C12ED">
        <w:rPr>
          <w:szCs w:val="22"/>
        </w:rPr>
        <w:tab/>
      </w:r>
    </w:p>
    <w:p w14:paraId="2F93BCFB" w14:textId="77777777" w:rsidR="00215260" w:rsidRPr="003C12ED" w:rsidRDefault="00215260" w:rsidP="00215260">
      <w:pPr>
        <w:tabs>
          <w:tab w:val="left" w:pos="720"/>
          <w:tab w:val="left" w:pos="1800"/>
        </w:tabs>
        <w:ind w:left="1440" w:hanging="720"/>
        <w:rPr>
          <w:szCs w:val="22"/>
        </w:rPr>
      </w:pPr>
      <w:r w:rsidRPr="003C12ED">
        <w:rPr>
          <w:szCs w:val="22"/>
        </w:rPr>
        <w:t>E-1</w:t>
      </w:r>
      <w:r w:rsidRPr="003C12ED">
        <w:rPr>
          <w:szCs w:val="22"/>
        </w:rPr>
        <w:tab/>
        <w:t>Combining Schedule of Program Revenues and Expenditures – Budgetary Basis</w:t>
      </w:r>
    </w:p>
    <w:p w14:paraId="51C5C8A4" w14:textId="77777777" w:rsidR="00215260" w:rsidRPr="003C12ED" w:rsidRDefault="00215260" w:rsidP="00215260">
      <w:pPr>
        <w:tabs>
          <w:tab w:val="left" w:pos="720"/>
          <w:tab w:val="left" w:pos="1440"/>
          <w:tab w:val="left" w:pos="1800"/>
        </w:tabs>
        <w:rPr>
          <w:szCs w:val="22"/>
        </w:rPr>
      </w:pPr>
      <w:r w:rsidRPr="003C12ED">
        <w:rPr>
          <w:szCs w:val="22"/>
        </w:rPr>
        <w:tab/>
        <w:t>E-2</w:t>
      </w:r>
      <w:r w:rsidRPr="003C12ED">
        <w:rPr>
          <w:szCs w:val="22"/>
        </w:rPr>
        <w:tab/>
        <w:t>Preschool Education Aid Schedule(s) of Expenditures – Budgetary Basis</w:t>
      </w:r>
    </w:p>
    <w:p w14:paraId="2BAF2527" w14:textId="77777777" w:rsidR="00215260" w:rsidRPr="003C12ED" w:rsidRDefault="00215260" w:rsidP="00215260">
      <w:pPr>
        <w:tabs>
          <w:tab w:val="left" w:pos="720"/>
          <w:tab w:val="left" w:pos="1440"/>
          <w:tab w:val="left" w:pos="1800"/>
        </w:tabs>
        <w:rPr>
          <w:szCs w:val="22"/>
        </w:rPr>
      </w:pPr>
    </w:p>
    <w:p w14:paraId="79312062" w14:textId="77777777" w:rsidR="00215260" w:rsidRPr="003C12ED" w:rsidRDefault="00215260" w:rsidP="00215260">
      <w:pPr>
        <w:tabs>
          <w:tab w:val="left" w:pos="720"/>
          <w:tab w:val="left" w:pos="1440"/>
          <w:tab w:val="left" w:pos="1800"/>
        </w:tabs>
        <w:rPr>
          <w:szCs w:val="22"/>
        </w:rPr>
      </w:pPr>
      <w:r w:rsidRPr="003C12ED">
        <w:rPr>
          <w:szCs w:val="22"/>
        </w:rPr>
        <w:t>F.</w:t>
      </w:r>
      <w:r w:rsidRPr="003C12ED">
        <w:rPr>
          <w:szCs w:val="22"/>
        </w:rPr>
        <w:tab/>
        <w:t>Capital Projects Fund:</w:t>
      </w:r>
    </w:p>
    <w:p w14:paraId="6CB439EC" w14:textId="77777777" w:rsidR="00215260" w:rsidRPr="003C12ED" w:rsidRDefault="00215260" w:rsidP="00215260">
      <w:pPr>
        <w:tabs>
          <w:tab w:val="left" w:pos="720"/>
          <w:tab w:val="left" w:pos="1440"/>
          <w:tab w:val="left" w:pos="1800"/>
        </w:tabs>
        <w:rPr>
          <w:szCs w:val="22"/>
        </w:rPr>
      </w:pPr>
    </w:p>
    <w:p w14:paraId="591F0958" w14:textId="77777777" w:rsidR="00215260" w:rsidRPr="003C12ED" w:rsidRDefault="00215260" w:rsidP="00215260">
      <w:pPr>
        <w:tabs>
          <w:tab w:val="left" w:pos="720"/>
          <w:tab w:val="left" w:pos="1440"/>
          <w:tab w:val="left" w:pos="1800"/>
        </w:tabs>
        <w:rPr>
          <w:szCs w:val="22"/>
        </w:rPr>
      </w:pPr>
      <w:r w:rsidRPr="003C12ED">
        <w:rPr>
          <w:szCs w:val="22"/>
        </w:rPr>
        <w:tab/>
        <w:t xml:space="preserve">F-1 </w:t>
      </w:r>
      <w:r w:rsidRPr="003C12ED">
        <w:rPr>
          <w:szCs w:val="22"/>
        </w:rPr>
        <w:tab/>
        <w:t xml:space="preserve">Summary Schedule of Project Expenditures </w:t>
      </w:r>
    </w:p>
    <w:p w14:paraId="16B6637E" w14:textId="77777777" w:rsidR="00215260" w:rsidRPr="003C12ED" w:rsidRDefault="00215260" w:rsidP="00215260">
      <w:pPr>
        <w:tabs>
          <w:tab w:val="left" w:pos="720"/>
          <w:tab w:val="left" w:pos="1440"/>
          <w:tab w:val="left" w:pos="1800"/>
        </w:tabs>
        <w:ind w:left="1440" w:hanging="1440"/>
        <w:rPr>
          <w:szCs w:val="22"/>
        </w:rPr>
      </w:pPr>
      <w:r w:rsidRPr="003C12ED">
        <w:rPr>
          <w:szCs w:val="22"/>
        </w:rPr>
        <w:tab/>
        <w:t>F-2</w:t>
      </w:r>
      <w:r w:rsidRPr="003C12ED">
        <w:rPr>
          <w:szCs w:val="22"/>
        </w:rPr>
        <w:tab/>
        <w:t>Summary Schedule of Revenues, Expenditures, and Changes in Fund Balance – Budgetary Basis</w:t>
      </w:r>
    </w:p>
    <w:p w14:paraId="6E13892D" w14:textId="77777777" w:rsidR="00215260" w:rsidRPr="003C12ED" w:rsidRDefault="00215260" w:rsidP="00215260">
      <w:pPr>
        <w:tabs>
          <w:tab w:val="left" w:pos="720"/>
          <w:tab w:val="left" w:pos="1440"/>
          <w:tab w:val="left" w:pos="1800"/>
        </w:tabs>
        <w:ind w:left="1440" w:hanging="1440"/>
        <w:rPr>
          <w:szCs w:val="22"/>
        </w:rPr>
      </w:pPr>
      <w:r w:rsidRPr="003C12ED">
        <w:rPr>
          <w:szCs w:val="22"/>
        </w:rPr>
        <w:tab/>
        <w:t>F-2(x)</w:t>
      </w:r>
      <w:r w:rsidRPr="003C12ED">
        <w:rPr>
          <w:szCs w:val="22"/>
        </w:rPr>
        <w:tab/>
        <w:t>Schedule(s) of Project Revenues, Expenditures, Project Balance, and Project Status – Budgetary Basis</w:t>
      </w:r>
    </w:p>
    <w:p w14:paraId="7E826A39" w14:textId="77777777" w:rsidR="00215260" w:rsidRPr="003C12ED" w:rsidRDefault="00215260" w:rsidP="00215260">
      <w:pPr>
        <w:tabs>
          <w:tab w:val="left" w:pos="720"/>
          <w:tab w:val="left" w:pos="1440"/>
          <w:tab w:val="left" w:pos="1800"/>
        </w:tabs>
        <w:rPr>
          <w:szCs w:val="22"/>
        </w:rPr>
      </w:pPr>
    </w:p>
    <w:p w14:paraId="6C31F5AE" w14:textId="77777777" w:rsidR="00215260" w:rsidRPr="003C12ED" w:rsidRDefault="00215260" w:rsidP="00215260">
      <w:pPr>
        <w:numPr>
          <w:ilvl w:val="0"/>
          <w:numId w:val="1"/>
        </w:numPr>
        <w:tabs>
          <w:tab w:val="left" w:pos="1440"/>
          <w:tab w:val="left" w:pos="1800"/>
        </w:tabs>
        <w:rPr>
          <w:szCs w:val="22"/>
        </w:rPr>
      </w:pPr>
      <w:r w:rsidRPr="003C12ED">
        <w:rPr>
          <w:szCs w:val="22"/>
        </w:rPr>
        <w:t>Proprietary Funds:</w:t>
      </w:r>
    </w:p>
    <w:p w14:paraId="53AB007B" w14:textId="77777777" w:rsidR="00215260" w:rsidRPr="003C12ED" w:rsidRDefault="00215260" w:rsidP="00215260">
      <w:pPr>
        <w:tabs>
          <w:tab w:val="left" w:pos="720"/>
          <w:tab w:val="left" w:pos="1440"/>
          <w:tab w:val="left" w:pos="1800"/>
        </w:tabs>
        <w:spacing w:line="180" w:lineRule="exact"/>
        <w:ind w:left="720"/>
        <w:rPr>
          <w:szCs w:val="22"/>
        </w:rPr>
      </w:pPr>
    </w:p>
    <w:p w14:paraId="623E5AA7" w14:textId="77777777" w:rsidR="00215260" w:rsidRPr="003C12ED" w:rsidRDefault="00215260" w:rsidP="00215260">
      <w:pPr>
        <w:tabs>
          <w:tab w:val="left" w:pos="720"/>
          <w:tab w:val="left" w:pos="1440"/>
          <w:tab w:val="left" w:pos="1800"/>
        </w:tabs>
        <w:ind w:left="720"/>
        <w:rPr>
          <w:szCs w:val="22"/>
        </w:rPr>
      </w:pPr>
      <w:smartTag w:uri="urn:schemas-microsoft-com:office:smarttags" w:element="City">
        <w:smartTag w:uri="urn:schemas-microsoft-com:office:smarttags" w:element="place">
          <w:r w:rsidRPr="003C12ED">
            <w:rPr>
              <w:szCs w:val="22"/>
            </w:rPr>
            <w:t>Enterprise</w:t>
          </w:r>
        </w:smartTag>
      </w:smartTag>
      <w:r w:rsidRPr="003C12ED">
        <w:rPr>
          <w:szCs w:val="22"/>
        </w:rPr>
        <w:t xml:space="preserve"> Fund:</w:t>
      </w:r>
    </w:p>
    <w:p w14:paraId="6D6C3665" w14:textId="77777777" w:rsidR="004A0C6A" w:rsidRDefault="004A0C6A"/>
    <w:sectPr w:rsidR="004A0C6A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469739" w14:textId="77777777" w:rsidR="00215260" w:rsidRDefault="00215260" w:rsidP="00215260">
      <w:r>
        <w:separator/>
      </w:r>
    </w:p>
  </w:endnote>
  <w:endnote w:type="continuationSeparator" w:id="0">
    <w:p w14:paraId="3630921C" w14:textId="77777777" w:rsidR="00215260" w:rsidRDefault="00215260" w:rsidP="00215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B450BB" w14:textId="065C53C1" w:rsidR="00215260" w:rsidRDefault="00215260" w:rsidP="00215260">
    <w:pPr>
      <w:pStyle w:val="Footer"/>
      <w:jc w:val="center"/>
    </w:pPr>
    <w:r>
      <w:rPr>
        <w:sz w:val="20"/>
      </w:rPr>
      <w:t>xvii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376C6A" w14:textId="77777777" w:rsidR="00215260" w:rsidRDefault="00215260" w:rsidP="00215260">
      <w:r>
        <w:separator/>
      </w:r>
    </w:p>
  </w:footnote>
  <w:footnote w:type="continuationSeparator" w:id="0">
    <w:p w14:paraId="15AFBEC7" w14:textId="77777777" w:rsidR="00215260" w:rsidRDefault="00215260" w:rsidP="002152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AF1AA1" w14:textId="77777777" w:rsidR="00215260" w:rsidRDefault="00215260" w:rsidP="00215260">
    <w:pPr>
      <w:pStyle w:val="Header"/>
      <w:jc w:val="right"/>
    </w:pPr>
    <w:r>
      <w:t>June 30, 2018</w:t>
    </w:r>
  </w:p>
  <w:p w14:paraId="6903C88C" w14:textId="7902D659" w:rsidR="00215260" w:rsidRDefault="00215260" w:rsidP="00215260">
    <w:pPr>
      <w:pStyle w:val="Header"/>
      <w:jc w:val="right"/>
    </w:pPr>
    <w:r>
      <w:t xml:space="preserve">Revised January </w:t>
    </w:r>
    <w:r w:rsidR="001F1A9E">
      <w:t xml:space="preserve">17, </w:t>
    </w:r>
    <w:r>
      <w:t>2019</w:t>
    </w:r>
  </w:p>
  <w:p w14:paraId="0505FAC8" w14:textId="77777777" w:rsidR="00215260" w:rsidRDefault="002152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BF154E"/>
    <w:multiLevelType w:val="hybridMultilevel"/>
    <w:tmpl w:val="70108F04"/>
    <w:lvl w:ilvl="0" w:tplc="AE628AB8">
      <w:start w:val="7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260"/>
    <w:rsid w:val="001F1A9E"/>
    <w:rsid w:val="00215260"/>
    <w:rsid w:val="004A0C6A"/>
    <w:rsid w:val="00D66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96A6163"/>
  <w15:chartTrackingRefBased/>
  <w15:docId w15:val="{221241E8-F1B6-426A-A345-B1F09227B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526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215260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21526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5260"/>
    <w:rPr>
      <w:rFonts w:ascii="Times New Roman" w:eastAsia="Times New Roman" w:hAnsi="Times New Roman" w:cs="Times New Roman"/>
      <w:sz w:val="20"/>
      <w:szCs w:val="20"/>
    </w:rPr>
  </w:style>
  <w:style w:type="character" w:styleId="Strong">
    <w:name w:val="Strong"/>
    <w:basedOn w:val="DefaultParagraphFont"/>
    <w:qFormat/>
    <w:rsid w:val="0021526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526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5260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152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5260"/>
    <w:rPr>
      <w:rFonts w:ascii="Times New Roman" w:eastAsia="Times New Roman" w:hAnsi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2152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5260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Grama, Jacqueline</dc:creator>
  <cp:keywords/>
  <dc:description/>
  <cp:lastModifiedBy>Grama, Jacqueline</cp:lastModifiedBy>
  <cp:revision>2</cp:revision>
  <dcterms:created xsi:type="dcterms:W3CDTF">2019-01-17T19:21:00Z</dcterms:created>
  <dcterms:modified xsi:type="dcterms:W3CDTF">2019-01-17T19:32:00Z</dcterms:modified>
</cp:coreProperties>
</file>